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4454" w:type="dxa"/>
        <w:tblLayout w:type="fixed"/>
        <w:tblLook w:val="04A0" w:firstRow="1" w:lastRow="0" w:firstColumn="1" w:lastColumn="0" w:noHBand="0" w:noVBand="1"/>
      </w:tblPr>
      <w:tblGrid>
        <w:gridCol w:w="3256"/>
        <w:gridCol w:w="5386"/>
        <w:gridCol w:w="5812"/>
      </w:tblGrid>
      <w:tr w:rsidR="00C461CE" w:rsidRPr="00F24CC6" w14:paraId="3F7A27AD" w14:textId="77777777" w:rsidTr="00C461CE">
        <w:trPr>
          <w:cantSplit/>
          <w:trHeight w:val="806"/>
        </w:trPr>
        <w:tc>
          <w:tcPr>
            <w:tcW w:w="3256" w:type="dxa"/>
            <w:shd w:val="clear" w:color="auto" w:fill="9CC2E5" w:themeFill="accent1" w:themeFillTint="99"/>
          </w:tcPr>
          <w:p w14:paraId="52DD5EDA" w14:textId="77777777" w:rsidR="00C461CE" w:rsidRPr="00073992" w:rsidRDefault="00C461CE" w:rsidP="006349D7">
            <w:pPr>
              <w:jc w:val="center"/>
              <w:rPr>
                <w:rFonts w:ascii="Arial" w:hAnsi="Arial" w:cs="Arial"/>
                <w:sz w:val="24"/>
                <w:szCs w:val="24"/>
                <w:u w:val="single"/>
              </w:rPr>
            </w:pPr>
            <w:r w:rsidRPr="00073992">
              <w:rPr>
                <w:rFonts w:ascii="Arial" w:hAnsi="Arial" w:cs="Arial"/>
                <w:sz w:val="24"/>
                <w:szCs w:val="24"/>
                <w:u w:val="single"/>
              </w:rPr>
              <w:t>Intention</w:t>
            </w:r>
          </w:p>
          <w:p w14:paraId="4F0EBF3B" w14:textId="77777777" w:rsidR="00C461CE" w:rsidRPr="00073992" w:rsidRDefault="00C461CE" w:rsidP="006349D7">
            <w:pPr>
              <w:rPr>
                <w:rFonts w:ascii="Arial" w:hAnsi="Arial" w:cs="Arial"/>
                <w:sz w:val="16"/>
                <w:szCs w:val="16"/>
                <w:u w:val="single"/>
              </w:rPr>
            </w:pPr>
            <w:r w:rsidRPr="00073992">
              <w:rPr>
                <w:rFonts w:ascii="Arial" w:hAnsi="Arial" w:cs="Arial"/>
                <w:sz w:val="16"/>
                <w:szCs w:val="16"/>
                <w:u w:val="single"/>
              </w:rPr>
              <w:t>Data, Recovery programme, resources, staffing including pedagogy, innovation</w:t>
            </w:r>
          </w:p>
        </w:tc>
        <w:tc>
          <w:tcPr>
            <w:tcW w:w="5386" w:type="dxa"/>
            <w:shd w:val="clear" w:color="auto" w:fill="9CC2E5" w:themeFill="accent1" w:themeFillTint="99"/>
          </w:tcPr>
          <w:p w14:paraId="6F0CD09C" w14:textId="77777777" w:rsidR="00C461CE" w:rsidRPr="00073992" w:rsidRDefault="00C461CE" w:rsidP="006349D7">
            <w:pPr>
              <w:jc w:val="center"/>
              <w:rPr>
                <w:rFonts w:ascii="Arial" w:hAnsi="Arial" w:cs="Arial"/>
                <w:sz w:val="24"/>
                <w:szCs w:val="24"/>
                <w:u w:val="single"/>
              </w:rPr>
            </w:pPr>
            <w:r w:rsidRPr="00073992">
              <w:rPr>
                <w:rFonts w:ascii="Arial" w:hAnsi="Arial" w:cs="Arial"/>
                <w:sz w:val="24"/>
                <w:szCs w:val="24"/>
                <w:u w:val="single"/>
              </w:rPr>
              <w:t>Implementation</w:t>
            </w:r>
            <w:bookmarkStart w:id="0" w:name="_GoBack"/>
            <w:bookmarkEnd w:id="0"/>
            <w:r w:rsidRPr="00073992">
              <w:rPr>
                <w:rFonts w:ascii="Arial" w:hAnsi="Arial" w:cs="Arial"/>
                <w:sz w:val="24"/>
                <w:szCs w:val="24"/>
                <w:u w:val="single"/>
              </w:rPr>
              <w:t xml:space="preserve"> </w:t>
            </w:r>
          </w:p>
        </w:tc>
        <w:tc>
          <w:tcPr>
            <w:tcW w:w="5812" w:type="dxa"/>
            <w:shd w:val="clear" w:color="auto" w:fill="9CC2E5" w:themeFill="accent1" w:themeFillTint="99"/>
          </w:tcPr>
          <w:p w14:paraId="73EFE271" w14:textId="77777777" w:rsidR="00C461CE" w:rsidRPr="00073992" w:rsidRDefault="00C461CE" w:rsidP="006349D7">
            <w:pPr>
              <w:jc w:val="center"/>
              <w:rPr>
                <w:rFonts w:ascii="Arial" w:hAnsi="Arial" w:cs="Arial"/>
                <w:sz w:val="24"/>
                <w:szCs w:val="24"/>
              </w:rPr>
            </w:pPr>
            <w:r w:rsidRPr="00073992">
              <w:rPr>
                <w:rFonts w:ascii="Arial" w:hAnsi="Arial" w:cs="Arial"/>
                <w:sz w:val="24"/>
                <w:szCs w:val="24"/>
                <w:u w:val="single"/>
              </w:rPr>
              <w:t>Proposed Impact</w:t>
            </w:r>
          </w:p>
        </w:tc>
      </w:tr>
      <w:tr w:rsidR="00C461CE" w14:paraId="1EEBAF31" w14:textId="77777777" w:rsidTr="00C461CE">
        <w:trPr>
          <w:cantSplit/>
          <w:trHeight w:val="1395"/>
        </w:trPr>
        <w:tc>
          <w:tcPr>
            <w:tcW w:w="3256" w:type="dxa"/>
            <w:shd w:val="clear" w:color="auto" w:fill="FFFFFF" w:themeFill="background1"/>
          </w:tcPr>
          <w:p w14:paraId="25AF201C" w14:textId="1066BDD0" w:rsidR="00C461CE" w:rsidRDefault="00C461CE" w:rsidP="2172F6F6">
            <w:pPr>
              <w:rPr>
                <w:rFonts w:ascii="Arial" w:hAnsi="Arial" w:cs="Arial"/>
                <w:highlight w:val="green"/>
              </w:rPr>
            </w:pPr>
            <w:r w:rsidRPr="2172F6F6">
              <w:rPr>
                <w:rFonts w:ascii="Arial" w:hAnsi="Arial" w:cs="Arial"/>
              </w:rPr>
              <w:t xml:space="preserve">To ensure that children’s learning </w:t>
            </w:r>
            <w:proofErr w:type="gramStart"/>
            <w:r w:rsidRPr="2172F6F6">
              <w:rPr>
                <w:rFonts w:ascii="Arial" w:hAnsi="Arial" w:cs="Arial"/>
              </w:rPr>
              <w:t>is enhanced</w:t>
            </w:r>
            <w:proofErr w:type="gramEnd"/>
            <w:r w:rsidRPr="2172F6F6">
              <w:rPr>
                <w:rFonts w:ascii="Arial" w:hAnsi="Arial" w:cs="Arial"/>
              </w:rPr>
              <w:t xml:space="preserve"> through the application of the techniques of knowing more and remembering more.</w:t>
            </w:r>
          </w:p>
        </w:tc>
        <w:tc>
          <w:tcPr>
            <w:tcW w:w="5386" w:type="dxa"/>
          </w:tcPr>
          <w:p w14:paraId="0C69DC9C" w14:textId="53A71B09" w:rsidR="00C461CE" w:rsidRDefault="00C461CE" w:rsidP="2172F6F6">
            <w:pPr>
              <w:pStyle w:val="ListParagraph"/>
              <w:rPr>
                <w:rFonts w:ascii="Arial" w:hAnsi="Arial" w:cs="Arial"/>
                <w:sz w:val="22"/>
                <w:szCs w:val="22"/>
              </w:rPr>
            </w:pPr>
            <w:r w:rsidRPr="2172F6F6">
              <w:rPr>
                <w:rFonts w:ascii="Arial" w:hAnsi="Arial" w:cs="Arial"/>
                <w:sz w:val="22"/>
                <w:szCs w:val="22"/>
              </w:rPr>
              <w:t>Begin lessons by revisiting prior learning.  Ensure that continuity is consistent by making direct links between learning in previous lessons and sharing the next steps of the journey.  Use regular quizzes, games or songs to revisit learning from earlier units or previous years.</w:t>
            </w:r>
          </w:p>
        </w:tc>
        <w:tc>
          <w:tcPr>
            <w:tcW w:w="5812" w:type="dxa"/>
          </w:tcPr>
          <w:p w14:paraId="198A999E" w14:textId="1798A357" w:rsidR="00C461CE" w:rsidRDefault="00C461CE" w:rsidP="2172F6F6">
            <w:pPr>
              <w:rPr>
                <w:rFonts w:ascii="Arial" w:hAnsi="Arial" w:cs="Arial"/>
              </w:rPr>
            </w:pPr>
            <w:r w:rsidRPr="2172F6F6">
              <w:rPr>
                <w:rFonts w:ascii="Arial" w:hAnsi="Arial" w:cs="Arial"/>
              </w:rPr>
              <w:t xml:space="preserve">Children’s knowledge </w:t>
            </w:r>
            <w:proofErr w:type="gramStart"/>
            <w:r w:rsidRPr="2172F6F6">
              <w:rPr>
                <w:rFonts w:ascii="Arial" w:hAnsi="Arial" w:cs="Arial"/>
              </w:rPr>
              <w:t>becomes embedded</w:t>
            </w:r>
            <w:proofErr w:type="gramEnd"/>
            <w:r w:rsidRPr="2172F6F6">
              <w:rPr>
                <w:rFonts w:ascii="Arial" w:hAnsi="Arial" w:cs="Arial"/>
              </w:rPr>
              <w:t>, and they can apply vocabulary and skills that they have already learned to support them when being introduced to new or more complex content.</w:t>
            </w:r>
          </w:p>
        </w:tc>
      </w:tr>
      <w:tr w:rsidR="00C461CE" w14:paraId="34A25B0A" w14:textId="77777777" w:rsidTr="00C461CE">
        <w:trPr>
          <w:cantSplit/>
          <w:trHeight w:val="1395"/>
        </w:trPr>
        <w:tc>
          <w:tcPr>
            <w:tcW w:w="3256" w:type="dxa"/>
            <w:shd w:val="clear" w:color="auto" w:fill="FFFFFF" w:themeFill="background1"/>
          </w:tcPr>
          <w:p w14:paraId="2BAF01CE" w14:textId="1E1400EA" w:rsidR="00C461CE" w:rsidRDefault="00C461CE" w:rsidP="2172F6F6">
            <w:pPr>
              <w:rPr>
                <w:rFonts w:ascii="Arial" w:hAnsi="Arial" w:cs="Arial"/>
              </w:rPr>
            </w:pPr>
            <w:r w:rsidRPr="2172F6F6">
              <w:rPr>
                <w:rFonts w:ascii="Arial" w:hAnsi="Arial" w:cs="Arial"/>
              </w:rPr>
              <w:t xml:space="preserve">To encourage and increase ways that </w:t>
            </w:r>
            <w:proofErr w:type="spellStart"/>
            <w:r w:rsidRPr="2172F6F6">
              <w:rPr>
                <w:rFonts w:ascii="Arial" w:hAnsi="Arial" w:cs="Arial"/>
              </w:rPr>
              <w:t>MfL</w:t>
            </w:r>
            <w:proofErr w:type="spellEnd"/>
            <w:r w:rsidRPr="2172F6F6">
              <w:rPr>
                <w:rFonts w:ascii="Arial" w:hAnsi="Arial" w:cs="Arial"/>
              </w:rPr>
              <w:t xml:space="preserve"> in school contributes to children’s cultural capital.</w:t>
            </w:r>
          </w:p>
        </w:tc>
        <w:tc>
          <w:tcPr>
            <w:tcW w:w="5386" w:type="dxa"/>
          </w:tcPr>
          <w:p w14:paraId="619182F3" w14:textId="30B5242C" w:rsidR="00C461CE" w:rsidRDefault="00C461CE" w:rsidP="2172F6F6">
            <w:pPr>
              <w:pStyle w:val="ListParagraph"/>
              <w:rPr>
                <w:rFonts w:ascii="Arial" w:hAnsi="Arial" w:cs="Arial"/>
                <w:sz w:val="22"/>
                <w:szCs w:val="22"/>
              </w:rPr>
            </w:pPr>
            <w:r w:rsidRPr="2172F6F6">
              <w:rPr>
                <w:rFonts w:ascii="Arial" w:hAnsi="Arial" w:cs="Arial"/>
                <w:sz w:val="22"/>
                <w:szCs w:val="22"/>
              </w:rPr>
              <w:t xml:space="preserve">Children learn about traditions and cultures of other countries alongside their language learning, and make comparisons with the culture/s they are familiar </w:t>
            </w:r>
            <w:proofErr w:type="gramStart"/>
            <w:r w:rsidRPr="2172F6F6">
              <w:rPr>
                <w:rFonts w:ascii="Arial" w:hAnsi="Arial" w:cs="Arial"/>
                <w:sz w:val="22"/>
                <w:szCs w:val="22"/>
              </w:rPr>
              <w:t>with</w:t>
            </w:r>
            <w:proofErr w:type="gramEnd"/>
            <w:r w:rsidRPr="2172F6F6">
              <w:rPr>
                <w:rFonts w:ascii="Arial" w:hAnsi="Arial" w:cs="Arial"/>
                <w:sz w:val="22"/>
                <w:szCs w:val="22"/>
              </w:rPr>
              <w:t>.  They are encouraged to share details of cultures and traditions practised within their own families.  They explore the geography of other countries, linking t the languages they are learning.</w:t>
            </w:r>
          </w:p>
        </w:tc>
        <w:tc>
          <w:tcPr>
            <w:tcW w:w="5812" w:type="dxa"/>
          </w:tcPr>
          <w:p w14:paraId="27E6C1A0" w14:textId="16144C40" w:rsidR="00C461CE" w:rsidRDefault="00C461CE" w:rsidP="2172F6F6">
            <w:pPr>
              <w:rPr>
                <w:rFonts w:ascii="Arial" w:hAnsi="Arial" w:cs="Arial"/>
              </w:rPr>
            </w:pPr>
            <w:r w:rsidRPr="2172F6F6">
              <w:rPr>
                <w:rFonts w:ascii="Arial" w:hAnsi="Arial" w:cs="Arial"/>
              </w:rPr>
              <w:t xml:space="preserve">Children’s understanding of the world </w:t>
            </w:r>
            <w:proofErr w:type="gramStart"/>
            <w:r w:rsidRPr="2172F6F6">
              <w:rPr>
                <w:rFonts w:ascii="Arial" w:hAnsi="Arial" w:cs="Arial"/>
              </w:rPr>
              <w:t>is deepened</w:t>
            </w:r>
            <w:proofErr w:type="gramEnd"/>
            <w:r w:rsidRPr="2172F6F6">
              <w:rPr>
                <w:rFonts w:ascii="Arial" w:hAnsi="Arial" w:cs="Arial"/>
              </w:rPr>
              <w:t xml:space="preserve"> and their increased cultural awareness helps to underpin their British values.</w:t>
            </w:r>
          </w:p>
        </w:tc>
      </w:tr>
      <w:tr w:rsidR="00C461CE" w14:paraId="56F3567B" w14:textId="77777777" w:rsidTr="00C461CE">
        <w:trPr>
          <w:cantSplit/>
          <w:trHeight w:val="1395"/>
        </w:trPr>
        <w:tc>
          <w:tcPr>
            <w:tcW w:w="3256" w:type="dxa"/>
            <w:shd w:val="clear" w:color="auto" w:fill="FFFFFF" w:themeFill="background1"/>
          </w:tcPr>
          <w:p w14:paraId="4B0E8882" w14:textId="3B792E5D" w:rsidR="00C461CE" w:rsidRDefault="00C461CE" w:rsidP="2172F6F6">
            <w:pPr>
              <w:rPr>
                <w:rFonts w:ascii="Arial" w:hAnsi="Arial" w:cs="Arial"/>
              </w:rPr>
            </w:pPr>
            <w:r w:rsidRPr="2172F6F6">
              <w:rPr>
                <w:rFonts w:ascii="Arial" w:hAnsi="Arial" w:cs="Arial"/>
              </w:rPr>
              <w:t xml:space="preserve">Pupils are provided with tools and resources that support their learning and encourage enthusiasm, independence and </w:t>
            </w:r>
            <w:proofErr w:type="gramStart"/>
            <w:r w:rsidRPr="2172F6F6">
              <w:rPr>
                <w:rFonts w:ascii="Arial" w:hAnsi="Arial" w:cs="Arial"/>
              </w:rPr>
              <w:t>problem-solving</w:t>
            </w:r>
            <w:proofErr w:type="gramEnd"/>
            <w:r w:rsidRPr="2172F6F6">
              <w:rPr>
                <w:rFonts w:ascii="Arial" w:hAnsi="Arial" w:cs="Arial"/>
              </w:rPr>
              <w:t>.</w:t>
            </w:r>
          </w:p>
        </w:tc>
        <w:tc>
          <w:tcPr>
            <w:tcW w:w="5386" w:type="dxa"/>
          </w:tcPr>
          <w:p w14:paraId="3DA4D403" w14:textId="0A455FA9" w:rsidR="00C461CE" w:rsidRDefault="00C461CE" w:rsidP="2172F6F6">
            <w:pPr>
              <w:pStyle w:val="ListParagraph"/>
              <w:rPr>
                <w:rFonts w:ascii="Arial" w:hAnsi="Arial" w:cs="Arial"/>
                <w:sz w:val="22"/>
                <w:szCs w:val="22"/>
              </w:rPr>
            </w:pPr>
            <w:r w:rsidRPr="2172F6F6">
              <w:rPr>
                <w:rFonts w:ascii="Arial" w:hAnsi="Arial" w:cs="Arial"/>
                <w:sz w:val="22"/>
                <w:szCs w:val="22"/>
              </w:rPr>
              <w:t xml:space="preserve">Pupils </w:t>
            </w:r>
            <w:proofErr w:type="gramStart"/>
            <w:r w:rsidRPr="2172F6F6">
              <w:rPr>
                <w:rFonts w:ascii="Arial" w:hAnsi="Arial" w:cs="Arial"/>
                <w:sz w:val="22"/>
                <w:szCs w:val="22"/>
              </w:rPr>
              <w:t>are regularly given</w:t>
            </w:r>
            <w:proofErr w:type="gramEnd"/>
            <w:r w:rsidRPr="2172F6F6">
              <w:rPr>
                <w:rFonts w:ascii="Arial" w:hAnsi="Arial" w:cs="Arial"/>
                <w:sz w:val="22"/>
                <w:szCs w:val="22"/>
              </w:rPr>
              <w:t xml:space="preserve"> tasks, built into planning as main activities or extensions for greater depth, involving using dictionaries to extend their vocabulary and sentence skills.  KKOs </w:t>
            </w:r>
            <w:proofErr w:type="gramStart"/>
            <w:r w:rsidRPr="2172F6F6">
              <w:rPr>
                <w:rFonts w:ascii="Arial" w:hAnsi="Arial" w:cs="Arial"/>
                <w:sz w:val="22"/>
                <w:szCs w:val="22"/>
              </w:rPr>
              <w:t>are provided</w:t>
            </w:r>
            <w:proofErr w:type="gramEnd"/>
            <w:r w:rsidRPr="2172F6F6">
              <w:rPr>
                <w:rFonts w:ascii="Arial" w:hAnsi="Arial" w:cs="Arial"/>
                <w:sz w:val="22"/>
                <w:szCs w:val="22"/>
              </w:rPr>
              <w:t xml:space="preserve"> with each unit, including relevant vocabulary and grammar points.</w:t>
            </w:r>
          </w:p>
        </w:tc>
        <w:tc>
          <w:tcPr>
            <w:tcW w:w="5812" w:type="dxa"/>
          </w:tcPr>
          <w:p w14:paraId="57F4BD7C" w14:textId="50470E5E" w:rsidR="00C461CE" w:rsidRDefault="00C461CE" w:rsidP="2172F6F6">
            <w:pPr>
              <w:rPr>
                <w:rFonts w:ascii="Arial" w:hAnsi="Arial" w:cs="Arial"/>
              </w:rPr>
            </w:pPr>
            <w:r w:rsidRPr="2172F6F6">
              <w:rPr>
                <w:rFonts w:ascii="Arial" w:hAnsi="Arial" w:cs="Arial"/>
              </w:rPr>
              <w:t>Pupils are able to engage more actively in their own independent learning and can feel a sense of agency and pride in their progress.</w:t>
            </w:r>
          </w:p>
        </w:tc>
      </w:tr>
      <w:tr w:rsidR="00C461CE" w14:paraId="4D7A7D33" w14:textId="77777777" w:rsidTr="00C461CE">
        <w:trPr>
          <w:cantSplit/>
          <w:trHeight w:val="1395"/>
        </w:trPr>
        <w:tc>
          <w:tcPr>
            <w:tcW w:w="3256" w:type="dxa"/>
            <w:shd w:val="clear" w:color="auto" w:fill="FFFFFF" w:themeFill="background1"/>
          </w:tcPr>
          <w:p w14:paraId="50CAC46F" w14:textId="79ADC149" w:rsidR="00C461CE" w:rsidRDefault="00C461CE" w:rsidP="2172F6F6">
            <w:pPr>
              <w:rPr>
                <w:rFonts w:ascii="Arial" w:hAnsi="Arial" w:cs="Arial"/>
              </w:rPr>
            </w:pPr>
            <w:r w:rsidRPr="2172F6F6">
              <w:rPr>
                <w:rFonts w:ascii="Arial" w:hAnsi="Arial" w:cs="Arial"/>
              </w:rPr>
              <w:t>The school environment as a whole reflects and supports a culture of language learning.</w:t>
            </w:r>
          </w:p>
        </w:tc>
        <w:tc>
          <w:tcPr>
            <w:tcW w:w="5386" w:type="dxa"/>
          </w:tcPr>
          <w:p w14:paraId="606DD0B8" w14:textId="6EAB6BDB" w:rsidR="00C461CE" w:rsidRDefault="00C461CE" w:rsidP="2172F6F6">
            <w:pPr>
              <w:pStyle w:val="ListParagraph"/>
              <w:rPr>
                <w:rFonts w:ascii="Arial" w:hAnsi="Arial" w:cs="Arial"/>
                <w:sz w:val="22"/>
                <w:szCs w:val="22"/>
              </w:rPr>
            </w:pPr>
            <w:r w:rsidRPr="2172F6F6">
              <w:rPr>
                <w:rFonts w:ascii="Arial" w:hAnsi="Arial" w:cs="Arial"/>
                <w:sz w:val="22"/>
                <w:szCs w:val="22"/>
              </w:rPr>
              <w:t>KS1, although not having formal language lessons, are encouraged to use different languages to communicate e.g. answering the register, saying hello, learning a prayer or part of a hymn or song.  Signing using Makaton or BSL signs is included, and children should be aware that this is an alternative form of communication just like any other language.  Displays, e.g. the map in the school hall, promote welcome in different languages, including languages that EAL children use at home.</w:t>
            </w:r>
          </w:p>
        </w:tc>
        <w:tc>
          <w:tcPr>
            <w:tcW w:w="5812" w:type="dxa"/>
          </w:tcPr>
          <w:p w14:paraId="5CDC746B" w14:textId="7B37835D" w:rsidR="00C461CE" w:rsidRDefault="00C461CE" w:rsidP="2172F6F6">
            <w:r w:rsidRPr="2172F6F6">
              <w:rPr>
                <w:rFonts w:ascii="Arial" w:hAnsi="Arial" w:cs="Arial"/>
              </w:rPr>
              <w:t xml:space="preserve">Children understand that there </w:t>
            </w:r>
            <w:proofErr w:type="gramStart"/>
            <w:r w:rsidRPr="2172F6F6">
              <w:rPr>
                <w:rFonts w:ascii="Arial" w:hAnsi="Arial" w:cs="Arial"/>
              </w:rPr>
              <w:t>are a variety</w:t>
            </w:r>
            <w:proofErr w:type="gramEnd"/>
            <w:r w:rsidRPr="2172F6F6">
              <w:rPr>
                <w:rFonts w:ascii="Arial" w:hAnsi="Arial" w:cs="Arial"/>
              </w:rPr>
              <w:t xml:space="preserve"> of ways of communicating.  Understanding of the world </w:t>
            </w:r>
            <w:proofErr w:type="gramStart"/>
            <w:r w:rsidRPr="2172F6F6">
              <w:rPr>
                <w:rFonts w:ascii="Arial" w:hAnsi="Arial" w:cs="Arial"/>
              </w:rPr>
              <w:t>is deepened</w:t>
            </w:r>
            <w:proofErr w:type="gramEnd"/>
            <w:r w:rsidRPr="2172F6F6">
              <w:rPr>
                <w:rFonts w:ascii="Arial" w:hAnsi="Arial" w:cs="Arial"/>
              </w:rPr>
              <w:t xml:space="preserve"> and inclusivity is encouraged by showing children that they have a range of options to support their ability to communicate.  </w:t>
            </w:r>
          </w:p>
          <w:p w14:paraId="31E26749" w14:textId="653E349B" w:rsidR="00C461CE" w:rsidRDefault="00C461CE" w:rsidP="2172F6F6">
            <w:pPr>
              <w:rPr>
                <w:rFonts w:ascii="Arial" w:hAnsi="Arial" w:cs="Arial"/>
              </w:rPr>
            </w:pPr>
          </w:p>
          <w:p w14:paraId="41164304" w14:textId="6BFAF017" w:rsidR="00C461CE" w:rsidRDefault="00C461CE" w:rsidP="2172F6F6">
            <w:pPr>
              <w:rPr>
                <w:rFonts w:ascii="Arial" w:hAnsi="Arial" w:cs="Arial"/>
              </w:rPr>
            </w:pPr>
          </w:p>
        </w:tc>
      </w:tr>
      <w:tr w:rsidR="00C461CE" w14:paraId="7956737F" w14:textId="77777777" w:rsidTr="00C461CE">
        <w:trPr>
          <w:cantSplit/>
          <w:trHeight w:val="1395"/>
        </w:trPr>
        <w:tc>
          <w:tcPr>
            <w:tcW w:w="3256" w:type="dxa"/>
            <w:shd w:val="clear" w:color="auto" w:fill="FFFFFF" w:themeFill="background1"/>
          </w:tcPr>
          <w:p w14:paraId="29778C6C" w14:textId="7AD319C0" w:rsidR="00C461CE" w:rsidRDefault="00C461CE" w:rsidP="2172F6F6">
            <w:pPr>
              <w:rPr>
                <w:rFonts w:ascii="Arial" w:hAnsi="Arial" w:cs="Arial"/>
              </w:rPr>
            </w:pPr>
            <w:r w:rsidRPr="2172F6F6">
              <w:rPr>
                <w:rFonts w:ascii="Arial" w:hAnsi="Arial" w:cs="Arial"/>
              </w:rPr>
              <w:t xml:space="preserve">Ensure that progress and success </w:t>
            </w:r>
            <w:proofErr w:type="gramStart"/>
            <w:r w:rsidRPr="2172F6F6">
              <w:rPr>
                <w:rFonts w:ascii="Arial" w:hAnsi="Arial" w:cs="Arial"/>
              </w:rPr>
              <w:t>are celebrated and shared, both between the children themselves and with the school and families</w:t>
            </w:r>
            <w:proofErr w:type="gramEnd"/>
            <w:r w:rsidRPr="2172F6F6">
              <w:rPr>
                <w:rFonts w:ascii="Arial" w:hAnsi="Arial" w:cs="Arial"/>
              </w:rPr>
              <w:t>.</w:t>
            </w:r>
          </w:p>
        </w:tc>
        <w:tc>
          <w:tcPr>
            <w:tcW w:w="5386" w:type="dxa"/>
          </w:tcPr>
          <w:p w14:paraId="39DC837E" w14:textId="2B2C6A73" w:rsidR="00C461CE" w:rsidRDefault="00C461CE" w:rsidP="2172F6F6">
            <w:pPr>
              <w:pStyle w:val="ListParagraph"/>
              <w:rPr>
                <w:rFonts w:ascii="Arial" w:hAnsi="Arial" w:cs="Arial"/>
                <w:sz w:val="22"/>
                <w:szCs w:val="22"/>
              </w:rPr>
            </w:pPr>
            <w:r w:rsidRPr="2172F6F6">
              <w:rPr>
                <w:rFonts w:ascii="Arial" w:hAnsi="Arial" w:cs="Arial"/>
                <w:sz w:val="22"/>
                <w:szCs w:val="22"/>
              </w:rPr>
              <w:t xml:space="preserve">Evidence of the work that children are doing </w:t>
            </w:r>
            <w:proofErr w:type="gramStart"/>
            <w:r w:rsidRPr="2172F6F6">
              <w:rPr>
                <w:rFonts w:ascii="Arial" w:hAnsi="Arial" w:cs="Arial"/>
                <w:sz w:val="22"/>
                <w:szCs w:val="22"/>
              </w:rPr>
              <w:t>is uploaded to the school website and kept up to date</w:t>
            </w:r>
            <w:proofErr w:type="gramEnd"/>
            <w:r w:rsidRPr="2172F6F6">
              <w:rPr>
                <w:rFonts w:ascii="Arial" w:hAnsi="Arial" w:cs="Arial"/>
                <w:sz w:val="22"/>
                <w:szCs w:val="22"/>
              </w:rPr>
              <w:t xml:space="preserve">.  Children </w:t>
            </w:r>
            <w:proofErr w:type="gramStart"/>
            <w:r w:rsidRPr="2172F6F6">
              <w:rPr>
                <w:rFonts w:ascii="Arial" w:hAnsi="Arial" w:cs="Arial"/>
                <w:sz w:val="22"/>
                <w:szCs w:val="22"/>
              </w:rPr>
              <w:t>are shown</w:t>
            </w:r>
            <w:proofErr w:type="gramEnd"/>
            <w:r w:rsidRPr="2172F6F6">
              <w:rPr>
                <w:rFonts w:ascii="Arial" w:hAnsi="Arial" w:cs="Arial"/>
                <w:sz w:val="22"/>
                <w:szCs w:val="22"/>
              </w:rPr>
              <w:t xml:space="preserve"> how they can use KKOs to apply their knowledge independently.  Photos and/or videos of lessons </w:t>
            </w:r>
            <w:proofErr w:type="gramStart"/>
            <w:r w:rsidRPr="2172F6F6">
              <w:rPr>
                <w:rFonts w:ascii="Arial" w:hAnsi="Arial" w:cs="Arial"/>
                <w:sz w:val="22"/>
                <w:szCs w:val="22"/>
              </w:rPr>
              <w:t>can be uploaded</w:t>
            </w:r>
            <w:proofErr w:type="gramEnd"/>
            <w:r w:rsidRPr="2172F6F6">
              <w:rPr>
                <w:rFonts w:ascii="Arial" w:hAnsi="Arial" w:cs="Arial"/>
                <w:sz w:val="22"/>
                <w:szCs w:val="22"/>
              </w:rPr>
              <w:t xml:space="preserve"> to class pages or school </w:t>
            </w:r>
            <w:proofErr w:type="spellStart"/>
            <w:r w:rsidRPr="2172F6F6">
              <w:rPr>
                <w:rFonts w:ascii="Arial" w:hAnsi="Arial" w:cs="Arial"/>
                <w:sz w:val="22"/>
                <w:szCs w:val="22"/>
              </w:rPr>
              <w:t>Youtube</w:t>
            </w:r>
            <w:proofErr w:type="spellEnd"/>
            <w:r w:rsidRPr="2172F6F6">
              <w:rPr>
                <w:rFonts w:ascii="Arial" w:hAnsi="Arial" w:cs="Arial"/>
                <w:sz w:val="22"/>
                <w:szCs w:val="22"/>
              </w:rPr>
              <w:t xml:space="preserve"> channel.  Children routinely share their work with their class during lessons.  An </w:t>
            </w:r>
            <w:proofErr w:type="spellStart"/>
            <w:r w:rsidRPr="2172F6F6">
              <w:rPr>
                <w:rFonts w:ascii="Arial" w:hAnsi="Arial" w:cs="Arial"/>
                <w:sz w:val="22"/>
                <w:szCs w:val="22"/>
              </w:rPr>
              <w:t>MfL</w:t>
            </w:r>
            <w:proofErr w:type="spellEnd"/>
            <w:r w:rsidRPr="2172F6F6">
              <w:rPr>
                <w:rFonts w:ascii="Arial" w:hAnsi="Arial" w:cs="Arial"/>
                <w:sz w:val="22"/>
                <w:szCs w:val="22"/>
              </w:rPr>
              <w:t xml:space="preserve"> showcase assembly will give children the opportunity to compare and celebrate their achievements.</w:t>
            </w:r>
          </w:p>
        </w:tc>
        <w:tc>
          <w:tcPr>
            <w:tcW w:w="5812" w:type="dxa"/>
          </w:tcPr>
          <w:p w14:paraId="206BE2DB" w14:textId="306BA914" w:rsidR="00C461CE" w:rsidRDefault="00C461CE" w:rsidP="2172F6F6">
            <w:pPr>
              <w:rPr>
                <w:rFonts w:ascii="Arial" w:hAnsi="Arial" w:cs="Arial"/>
              </w:rPr>
            </w:pPr>
            <w:r w:rsidRPr="2172F6F6">
              <w:rPr>
                <w:rFonts w:ascii="Arial" w:hAnsi="Arial" w:cs="Arial"/>
              </w:rPr>
              <w:t xml:space="preserve">Children have a sense of achievement and pride in </w:t>
            </w:r>
            <w:proofErr w:type="spellStart"/>
            <w:r w:rsidRPr="2172F6F6">
              <w:rPr>
                <w:rFonts w:ascii="Arial" w:hAnsi="Arial" w:cs="Arial"/>
              </w:rPr>
              <w:t>thei</w:t>
            </w:r>
            <w:proofErr w:type="spellEnd"/>
            <w:r w:rsidRPr="2172F6F6">
              <w:rPr>
                <w:rFonts w:ascii="Arial" w:hAnsi="Arial" w:cs="Arial"/>
              </w:rPr>
              <w:t xml:space="preserve"> work.  All children are able to </w:t>
            </w:r>
            <w:proofErr w:type="gramStart"/>
            <w:r w:rsidRPr="2172F6F6">
              <w:rPr>
                <w:rFonts w:ascii="Arial" w:hAnsi="Arial" w:cs="Arial"/>
              </w:rPr>
              <w:t>showcase</w:t>
            </w:r>
            <w:proofErr w:type="gramEnd"/>
            <w:r w:rsidRPr="2172F6F6">
              <w:rPr>
                <w:rFonts w:ascii="Arial" w:hAnsi="Arial" w:cs="Arial"/>
              </w:rPr>
              <w:t>, share and celebrate their achievements with confidence, in line with their ability.</w:t>
            </w:r>
          </w:p>
        </w:tc>
      </w:tr>
      <w:tr w:rsidR="00C461CE" w:rsidRPr="00C1370E" w14:paraId="33655F20" w14:textId="77777777" w:rsidTr="00C461CE">
        <w:trPr>
          <w:cantSplit/>
          <w:trHeight w:val="1415"/>
        </w:trPr>
        <w:tc>
          <w:tcPr>
            <w:tcW w:w="3256" w:type="dxa"/>
            <w:shd w:val="clear" w:color="auto" w:fill="FFFFFF" w:themeFill="background1"/>
          </w:tcPr>
          <w:p w14:paraId="1DCFFA21" w14:textId="77777777" w:rsidR="00C461CE" w:rsidRPr="00C1370E" w:rsidRDefault="00C461CE" w:rsidP="2172F6F6">
            <w:pPr>
              <w:rPr>
                <w:rFonts w:ascii="Arial" w:hAnsi="Arial" w:cs="Arial"/>
              </w:rPr>
            </w:pPr>
            <w:r w:rsidRPr="2172F6F6">
              <w:rPr>
                <w:rFonts w:ascii="Arial" w:hAnsi="Arial" w:cs="Arial"/>
              </w:rPr>
              <w:t xml:space="preserve">Where necessary, staff </w:t>
            </w:r>
            <w:proofErr w:type="gramStart"/>
            <w:r w:rsidRPr="2172F6F6">
              <w:rPr>
                <w:rFonts w:ascii="Arial" w:hAnsi="Arial" w:cs="Arial"/>
              </w:rPr>
              <w:t>are supported</w:t>
            </w:r>
            <w:proofErr w:type="gramEnd"/>
            <w:r w:rsidRPr="2172F6F6">
              <w:rPr>
                <w:rFonts w:ascii="Arial" w:hAnsi="Arial" w:cs="Arial"/>
              </w:rPr>
              <w:t xml:space="preserve"> to deliver MFL content.</w:t>
            </w:r>
          </w:p>
        </w:tc>
        <w:tc>
          <w:tcPr>
            <w:tcW w:w="5386" w:type="dxa"/>
          </w:tcPr>
          <w:p w14:paraId="2F8E466A" w14:textId="77777777" w:rsidR="00C461CE" w:rsidRPr="00C1370E" w:rsidRDefault="00C461CE" w:rsidP="006349D7">
            <w:pPr>
              <w:tabs>
                <w:tab w:val="left" w:pos="948"/>
              </w:tabs>
              <w:rPr>
                <w:rFonts w:ascii="Arial" w:hAnsi="Arial" w:cs="Arial"/>
              </w:rPr>
            </w:pPr>
            <w:r>
              <w:rPr>
                <w:rFonts w:ascii="Arial" w:hAnsi="Arial" w:cs="Arial"/>
              </w:rPr>
              <w:t xml:space="preserve">MFL lead to monitor </w:t>
            </w:r>
            <w:proofErr w:type="gramStart"/>
            <w:r>
              <w:rPr>
                <w:rFonts w:ascii="Arial" w:hAnsi="Arial" w:cs="Arial"/>
              </w:rPr>
              <w:t>where other staff are giving or supporting lessons</w:t>
            </w:r>
            <w:proofErr w:type="gramEnd"/>
            <w:r>
              <w:rPr>
                <w:rFonts w:ascii="Arial" w:hAnsi="Arial" w:cs="Arial"/>
              </w:rPr>
              <w:t>.  This will include MFL-related content within WLP units. Regularly make contact with those staff to provide help where needed.  Observe lessons/ monitor feedback and progress, if other staff are teaching long term.</w:t>
            </w:r>
          </w:p>
        </w:tc>
        <w:tc>
          <w:tcPr>
            <w:tcW w:w="5812" w:type="dxa"/>
          </w:tcPr>
          <w:p w14:paraId="11A46F57" w14:textId="77777777" w:rsidR="00C461CE" w:rsidRPr="00057E30" w:rsidRDefault="00C461CE" w:rsidP="00057E30">
            <w:pPr>
              <w:rPr>
                <w:rFonts w:ascii="Arial" w:hAnsi="Arial" w:cs="Arial"/>
              </w:rPr>
            </w:pPr>
            <w:r w:rsidRPr="00057E30">
              <w:rPr>
                <w:rFonts w:ascii="Arial" w:hAnsi="Arial" w:cs="Arial"/>
              </w:rPr>
              <w:t xml:space="preserve">All staff who </w:t>
            </w:r>
            <w:proofErr w:type="gramStart"/>
            <w:r w:rsidRPr="00057E30">
              <w:rPr>
                <w:rFonts w:ascii="Arial" w:hAnsi="Arial" w:cs="Arial"/>
              </w:rPr>
              <w:t>are called upon</w:t>
            </w:r>
            <w:proofErr w:type="gramEnd"/>
            <w:r w:rsidRPr="00057E30">
              <w:rPr>
                <w:rFonts w:ascii="Arial" w:hAnsi="Arial" w:cs="Arial"/>
              </w:rPr>
              <w:t xml:space="preserve"> to deliver MFL, in whatever context, feel comfortable and confident to do so, and know they have access to support where needed.</w:t>
            </w:r>
          </w:p>
        </w:tc>
      </w:tr>
    </w:tbl>
    <w:p w14:paraId="728C170F" w14:textId="1B99B685" w:rsidR="2172F6F6" w:rsidRDefault="2172F6F6"/>
    <w:p w14:paraId="3DEEC669" w14:textId="77777777" w:rsidR="00DF6F5E" w:rsidRPr="00C1370E" w:rsidRDefault="00DF6F5E"/>
    <w:sectPr w:rsidR="00DF6F5E" w:rsidRPr="00C1370E" w:rsidSect="00373B6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B9AB" w14:textId="77777777" w:rsidR="002F2F1C" w:rsidRDefault="002F2F1C" w:rsidP="00E27C63">
      <w:pPr>
        <w:spacing w:after="0" w:line="240" w:lineRule="auto"/>
      </w:pPr>
      <w:r>
        <w:separator/>
      </w:r>
    </w:p>
  </w:endnote>
  <w:endnote w:type="continuationSeparator" w:id="0">
    <w:p w14:paraId="45FB0818" w14:textId="77777777" w:rsidR="002F2F1C" w:rsidRDefault="002F2F1C"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8ADD" w14:textId="77777777" w:rsidR="008924CB" w:rsidRDefault="0089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40DADDE3" w14:paraId="3480533E" w14:textId="77777777" w:rsidTr="40DADDE3">
      <w:trPr>
        <w:trHeight w:val="300"/>
      </w:trPr>
      <w:tc>
        <w:tcPr>
          <w:tcW w:w="4650" w:type="dxa"/>
        </w:tcPr>
        <w:p w14:paraId="31EE998F" w14:textId="481FE79B" w:rsidR="40DADDE3" w:rsidRDefault="40DADDE3" w:rsidP="40DADDE3">
          <w:pPr>
            <w:pStyle w:val="Header"/>
            <w:ind w:left="-115"/>
          </w:pPr>
        </w:p>
      </w:tc>
      <w:tc>
        <w:tcPr>
          <w:tcW w:w="4650" w:type="dxa"/>
        </w:tcPr>
        <w:p w14:paraId="5C1B9363" w14:textId="1C8241CC" w:rsidR="40DADDE3" w:rsidRDefault="40DADDE3" w:rsidP="40DADDE3">
          <w:pPr>
            <w:pStyle w:val="Header"/>
            <w:jc w:val="center"/>
          </w:pPr>
        </w:p>
      </w:tc>
      <w:tc>
        <w:tcPr>
          <w:tcW w:w="4650" w:type="dxa"/>
        </w:tcPr>
        <w:p w14:paraId="17A37EB9" w14:textId="105532A1" w:rsidR="40DADDE3" w:rsidRDefault="40DADDE3" w:rsidP="40DADDE3">
          <w:pPr>
            <w:pStyle w:val="Header"/>
            <w:ind w:right="-115"/>
            <w:jc w:val="right"/>
          </w:pPr>
        </w:p>
      </w:tc>
    </w:tr>
  </w:tbl>
  <w:p w14:paraId="49FE0943" w14:textId="3C05DA1A" w:rsidR="40DADDE3" w:rsidRDefault="40DADDE3" w:rsidP="40DAD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C091" w14:textId="77777777" w:rsidR="008924CB" w:rsidRDefault="00892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31CB" w14:textId="77777777" w:rsidR="002F2F1C" w:rsidRDefault="002F2F1C" w:rsidP="00E27C63">
      <w:pPr>
        <w:spacing w:after="0" w:line="240" w:lineRule="auto"/>
      </w:pPr>
      <w:r>
        <w:separator/>
      </w:r>
    </w:p>
  </w:footnote>
  <w:footnote w:type="continuationSeparator" w:id="0">
    <w:p w14:paraId="53128261" w14:textId="77777777" w:rsidR="002F2F1C" w:rsidRDefault="002F2F1C"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4B48" w14:textId="77777777" w:rsidR="008924CB" w:rsidRDefault="0089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AD8E" w14:textId="28738668" w:rsidR="00E27C63" w:rsidRPr="003F18E0" w:rsidRDefault="00E27C63" w:rsidP="00E27C63">
    <w:pPr>
      <w:pStyle w:val="Header"/>
      <w:ind w:left="-709"/>
      <w:rPr>
        <w:u w:val="single"/>
      </w:rPr>
    </w:pPr>
    <w:r w:rsidRPr="00E27C63">
      <w:rPr>
        <w:noProof/>
        <w:sz w:val="40"/>
        <w:lang w:eastAsia="en-GB"/>
      </w:rPr>
      <w:drawing>
        <wp:anchor distT="0" distB="0" distL="114300" distR="114300" simplePos="0" relativeHeight="251659264" behindDoc="1" locked="0" layoutInCell="1" allowOverlap="0" wp14:anchorId="1C22043D" wp14:editId="60096902">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roofErr w:type="spellStart"/>
    <w:r w:rsidR="008924CB">
      <w:rPr>
        <w:sz w:val="40"/>
        <w:szCs w:val="40"/>
      </w:rPr>
      <w:t>MfL</w:t>
    </w:r>
    <w:proofErr w:type="spellEnd"/>
    <w:r w:rsidR="008924CB">
      <w:rPr>
        <w:sz w:val="40"/>
        <w:szCs w:val="40"/>
      </w:rPr>
      <w:t xml:space="preserve"> Action Plan for 2023/24</w:t>
    </w:r>
    <w:r w:rsidR="40DADDE3" w:rsidRPr="40DADDE3">
      <w:rPr>
        <w:sz w:val="40"/>
        <w:szCs w:val="40"/>
      </w:rPr>
      <w:t xml:space="preserve">   </w:t>
    </w:r>
    <w:r w:rsidR="40DADDE3" w:rsidRPr="00E27C63">
      <w:t xml:space="preserve"> </w:t>
    </w:r>
    <w:r w:rsidR="40DADDE3">
      <w:t>Owner(s</w:t>
    </w:r>
    <w:r w:rsidR="40DADDE3" w:rsidRPr="003F18E0">
      <w:rPr>
        <w:u w:val="single"/>
      </w:rPr>
      <w:t>): _</w:t>
    </w:r>
    <w:r w:rsidR="40DADDE3">
      <w:rPr>
        <w:u w:val="single"/>
      </w:rPr>
      <w:t xml:space="preserve">S. </w:t>
    </w:r>
    <w:proofErr w:type="spellStart"/>
    <w:r w:rsidR="40DADDE3">
      <w:rPr>
        <w:u w:val="single"/>
      </w:rPr>
      <w:t>Amann</w:t>
    </w:r>
    <w:proofErr w:type="spellEnd"/>
    <w:r w:rsidR="40DADDE3" w:rsidRPr="003F18E0">
      <w:rPr>
        <w:u w:val="single"/>
      </w:rPr>
      <w:t xml:space="preserve">   Last revisited: </w:t>
    </w:r>
    <w:r w:rsidR="008924CB">
      <w:rPr>
        <w:u w:val="single"/>
      </w:rPr>
      <w:t>January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20D5" w14:textId="77777777" w:rsidR="008924CB" w:rsidRDefault="0089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976"/>
    <w:multiLevelType w:val="hybridMultilevel"/>
    <w:tmpl w:val="374CAC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05243"/>
    <w:multiLevelType w:val="hybridMultilevel"/>
    <w:tmpl w:val="07E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C3B"/>
    <w:multiLevelType w:val="hybridMultilevel"/>
    <w:tmpl w:val="45A2D5A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AFD07CA"/>
    <w:multiLevelType w:val="hybridMultilevel"/>
    <w:tmpl w:val="CC1246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44888"/>
    <w:multiLevelType w:val="hybridMultilevel"/>
    <w:tmpl w:val="1FBA9E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434ED"/>
    <w:multiLevelType w:val="hybridMultilevel"/>
    <w:tmpl w:val="330E0E3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83209FC"/>
    <w:multiLevelType w:val="hybridMultilevel"/>
    <w:tmpl w:val="755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34054"/>
    <w:multiLevelType w:val="hybridMultilevel"/>
    <w:tmpl w:val="3224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30A75"/>
    <w:multiLevelType w:val="hybridMultilevel"/>
    <w:tmpl w:val="B56695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3009A"/>
    <w:multiLevelType w:val="hybridMultilevel"/>
    <w:tmpl w:val="6420B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1D7EB4"/>
    <w:multiLevelType w:val="hybridMultilevel"/>
    <w:tmpl w:val="13121D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4A15ED"/>
    <w:multiLevelType w:val="hybridMultilevel"/>
    <w:tmpl w:val="BEF2BE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9B3311"/>
    <w:multiLevelType w:val="hybridMultilevel"/>
    <w:tmpl w:val="80A6BF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E927EE"/>
    <w:multiLevelType w:val="hybridMultilevel"/>
    <w:tmpl w:val="288CD0F2"/>
    <w:lvl w:ilvl="0" w:tplc="0809000B">
      <w:start w:val="1"/>
      <w:numFmt w:val="bullet"/>
      <w:lvlText w:val=""/>
      <w:lvlJc w:val="left"/>
      <w:pPr>
        <w:ind w:left="502"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61D14"/>
    <w:multiLevelType w:val="hybridMultilevel"/>
    <w:tmpl w:val="5AF83372"/>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89A2651"/>
    <w:multiLevelType w:val="hybridMultilevel"/>
    <w:tmpl w:val="65E802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46B8A"/>
    <w:multiLevelType w:val="hybridMultilevel"/>
    <w:tmpl w:val="F19EDA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EF04AD"/>
    <w:multiLevelType w:val="hybridMultilevel"/>
    <w:tmpl w:val="0882C4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AC5929"/>
    <w:multiLevelType w:val="hybridMultilevel"/>
    <w:tmpl w:val="90082C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523958"/>
    <w:multiLevelType w:val="hybridMultilevel"/>
    <w:tmpl w:val="622ED6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CA2979"/>
    <w:multiLevelType w:val="hybridMultilevel"/>
    <w:tmpl w:val="811447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B31DD0"/>
    <w:multiLevelType w:val="hybridMultilevel"/>
    <w:tmpl w:val="C38A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6"/>
  </w:num>
  <w:num w:numId="4">
    <w:abstractNumId w:val="3"/>
  </w:num>
  <w:num w:numId="5">
    <w:abstractNumId w:val="15"/>
  </w:num>
  <w:num w:numId="6">
    <w:abstractNumId w:val="9"/>
  </w:num>
  <w:num w:numId="7">
    <w:abstractNumId w:val="19"/>
  </w:num>
  <w:num w:numId="8">
    <w:abstractNumId w:val="0"/>
  </w:num>
  <w:num w:numId="9">
    <w:abstractNumId w:val="4"/>
  </w:num>
  <w:num w:numId="10">
    <w:abstractNumId w:val="5"/>
  </w:num>
  <w:num w:numId="11">
    <w:abstractNumId w:val="14"/>
  </w:num>
  <w:num w:numId="12">
    <w:abstractNumId w:val="7"/>
  </w:num>
  <w:num w:numId="13">
    <w:abstractNumId w:val="13"/>
  </w:num>
  <w:num w:numId="14">
    <w:abstractNumId w:val="2"/>
  </w:num>
  <w:num w:numId="15">
    <w:abstractNumId w:val="8"/>
  </w:num>
  <w:num w:numId="16">
    <w:abstractNumId w:val="20"/>
  </w:num>
  <w:num w:numId="17">
    <w:abstractNumId w:val="21"/>
  </w:num>
  <w:num w:numId="18">
    <w:abstractNumId w:val="12"/>
  </w:num>
  <w:num w:numId="19">
    <w:abstractNumId w:val="11"/>
  </w:num>
  <w:num w:numId="20">
    <w:abstractNumId w:val="1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57E30"/>
    <w:rsid w:val="00073992"/>
    <w:rsid w:val="00100555"/>
    <w:rsid w:val="00174FA5"/>
    <w:rsid w:val="001E525B"/>
    <w:rsid w:val="001E69DE"/>
    <w:rsid w:val="001F3EAB"/>
    <w:rsid w:val="00207F75"/>
    <w:rsid w:val="00262ED2"/>
    <w:rsid w:val="002D6F24"/>
    <w:rsid w:val="002F2F1C"/>
    <w:rsid w:val="00336C93"/>
    <w:rsid w:val="00340026"/>
    <w:rsid w:val="00373B61"/>
    <w:rsid w:val="003F18E0"/>
    <w:rsid w:val="00441F11"/>
    <w:rsid w:val="00452DA6"/>
    <w:rsid w:val="004607FD"/>
    <w:rsid w:val="00550AEF"/>
    <w:rsid w:val="005783FF"/>
    <w:rsid w:val="00590BD5"/>
    <w:rsid w:val="00610B90"/>
    <w:rsid w:val="00617A91"/>
    <w:rsid w:val="006349D7"/>
    <w:rsid w:val="006654E3"/>
    <w:rsid w:val="006D6B87"/>
    <w:rsid w:val="007001E3"/>
    <w:rsid w:val="00714096"/>
    <w:rsid w:val="007144D7"/>
    <w:rsid w:val="007A284F"/>
    <w:rsid w:val="00857C01"/>
    <w:rsid w:val="008924CB"/>
    <w:rsid w:val="00897620"/>
    <w:rsid w:val="008E1953"/>
    <w:rsid w:val="0091759A"/>
    <w:rsid w:val="009D7C70"/>
    <w:rsid w:val="00A4743A"/>
    <w:rsid w:val="00AB2FE1"/>
    <w:rsid w:val="00BA577F"/>
    <w:rsid w:val="00C07AA4"/>
    <w:rsid w:val="00C1370E"/>
    <w:rsid w:val="00C24DAE"/>
    <w:rsid w:val="00C461CE"/>
    <w:rsid w:val="00CA1973"/>
    <w:rsid w:val="00DD50AB"/>
    <w:rsid w:val="00DE0275"/>
    <w:rsid w:val="00DF6F5E"/>
    <w:rsid w:val="00E010AF"/>
    <w:rsid w:val="00E27C63"/>
    <w:rsid w:val="0185292D"/>
    <w:rsid w:val="01926AD6"/>
    <w:rsid w:val="03DE4121"/>
    <w:rsid w:val="06ABBD2E"/>
    <w:rsid w:val="07B29AF0"/>
    <w:rsid w:val="08ED7FE1"/>
    <w:rsid w:val="094E6B51"/>
    <w:rsid w:val="09E53DE8"/>
    <w:rsid w:val="0B6605F4"/>
    <w:rsid w:val="0B7F2E51"/>
    <w:rsid w:val="0B8A6CEF"/>
    <w:rsid w:val="0CD474FC"/>
    <w:rsid w:val="0D3A1FC5"/>
    <w:rsid w:val="0D5CE751"/>
    <w:rsid w:val="0E6B7784"/>
    <w:rsid w:val="0FA99660"/>
    <w:rsid w:val="1467A7D9"/>
    <w:rsid w:val="1498FFD6"/>
    <w:rsid w:val="17D0AC40"/>
    <w:rsid w:val="192E434D"/>
    <w:rsid w:val="19CFD486"/>
    <w:rsid w:val="1BA6CA5A"/>
    <w:rsid w:val="1C50D80B"/>
    <w:rsid w:val="1CE24DCD"/>
    <w:rsid w:val="1D76CA73"/>
    <w:rsid w:val="1DE5C2D0"/>
    <w:rsid w:val="1E05314D"/>
    <w:rsid w:val="1F272BA1"/>
    <w:rsid w:val="20613A6C"/>
    <w:rsid w:val="212A3577"/>
    <w:rsid w:val="215DDC0C"/>
    <w:rsid w:val="2172F6F6"/>
    <w:rsid w:val="21905EFA"/>
    <w:rsid w:val="22A24E3F"/>
    <w:rsid w:val="23E60BF7"/>
    <w:rsid w:val="24550454"/>
    <w:rsid w:val="25D92402"/>
    <w:rsid w:val="2616CEF7"/>
    <w:rsid w:val="27191529"/>
    <w:rsid w:val="271BB47B"/>
    <w:rsid w:val="27737CB9"/>
    <w:rsid w:val="279976FB"/>
    <w:rsid w:val="28B4E58A"/>
    <w:rsid w:val="28FD9297"/>
    <w:rsid w:val="2935475C"/>
    <w:rsid w:val="2B39B915"/>
    <w:rsid w:val="2BEC864C"/>
    <w:rsid w:val="2C4C15FA"/>
    <w:rsid w:val="2CA118D0"/>
    <w:rsid w:val="2ED3BBC8"/>
    <w:rsid w:val="2FC93C39"/>
    <w:rsid w:val="2FD6C154"/>
    <w:rsid w:val="2FE8C85A"/>
    <w:rsid w:val="32E41728"/>
    <w:rsid w:val="33485C97"/>
    <w:rsid w:val="34041D47"/>
    <w:rsid w:val="347FE789"/>
    <w:rsid w:val="3531C275"/>
    <w:rsid w:val="35D36DFB"/>
    <w:rsid w:val="372295AC"/>
    <w:rsid w:val="37CD6882"/>
    <w:rsid w:val="3850E05B"/>
    <w:rsid w:val="387D6376"/>
    <w:rsid w:val="3BB50438"/>
    <w:rsid w:val="3C773A2A"/>
    <w:rsid w:val="3CE6DD6F"/>
    <w:rsid w:val="3E3C3C73"/>
    <w:rsid w:val="3EA93DA5"/>
    <w:rsid w:val="3F889FAF"/>
    <w:rsid w:val="3F8EBF80"/>
    <w:rsid w:val="40DADDE3"/>
    <w:rsid w:val="415E6A91"/>
    <w:rsid w:val="42FA3AF2"/>
    <w:rsid w:val="434D73D3"/>
    <w:rsid w:val="4415A981"/>
    <w:rsid w:val="450282BA"/>
    <w:rsid w:val="4542BE21"/>
    <w:rsid w:val="482C7C69"/>
    <w:rsid w:val="48739E67"/>
    <w:rsid w:val="4A11719E"/>
    <w:rsid w:val="4AF5F1F8"/>
    <w:rsid w:val="4B61E8C0"/>
    <w:rsid w:val="4CE28B13"/>
    <w:rsid w:val="4DE7C7E5"/>
    <w:rsid w:val="4EB8021F"/>
    <w:rsid w:val="50359610"/>
    <w:rsid w:val="506D03D6"/>
    <w:rsid w:val="50B35890"/>
    <w:rsid w:val="51C16938"/>
    <w:rsid w:val="531BE9B8"/>
    <w:rsid w:val="533DE507"/>
    <w:rsid w:val="53EAF952"/>
    <w:rsid w:val="5401A5CD"/>
    <w:rsid w:val="540601A7"/>
    <w:rsid w:val="586B4797"/>
    <w:rsid w:val="58D972CA"/>
    <w:rsid w:val="59B8C036"/>
    <w:rsid w:val="5AEB93B8"/>
    <w:rsid w:val="5B83E448"/>
    <w:rsid w:val="5CAECE89"/>
    <w:rsid w:val="5D08307E"/>
    <w:rsid w:val="5DA1C955"/>
    <w:rsid w:val="5E4BA40A"/>
    <w:rsid w:val="5F61A1EB"/>
    <w:rsid w:val="60B245EF"/>
    <w:rsid w:val="61369283"/>
    <w:rsid w:val="617B5746"/>
    <w:rsid w:val="618344CC"/>
    <w:rsid w:val="62556F6D"/>
    <w:rsid w:val="644A1F12"/>
    <w:rsid w:val="649C7803"/>
    <w:rsid w:val="64A1BD31"/>
    <w:rsid w:val="659AD261"/>
    <w:rsid w:val="69413924"/>
    <w:rsid w:val="69BE4890"/>
    <w:rsid w:val="6A1D3BC2"/>
    <w:rsid w:val="6C2B27C7"/>
    <w:rsid w:val="6C85478D"/>
    <w:rsid w:val="6D0270F3"/>
    <w:rsid w:val="6E2C44F4"/>
    <w:rsid w:val="6F5CDFDA"/>
    <w:rsid w:val="6F658F86"/>
    <w:rsid w:val="703792B6"/>
    <w:rsid w:val="709BBFDF"/>
    <w:rsid w:val="72284DA7"/>
    <w:rsid w:val="744077BA"/>
    <w:rsid w:val="747179AA"/>
    <w:rsid w:val="761103DA"/>
    <w:rsid w:val="7647DD0F"/>
    <w:rsid w:val="78943D95"/>
    <w:rsid w:val="7B27227F"/>
    <w:rsid w:val="7C01BD15"/>
    <w:rsid w:val="7CCAE066"/>
    <w:rsid w:val="7D2FB463"/>
    <w:rsid w:val="7E41F83D"/>
    <w:rsid w:val="7E52D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1B47"/>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ST-AMANN-S</cp:lastModifiedBy>
  <cp:revision>2</cp:revision>
  <cp:lastPrinted>2024-02-01T13:18:00Z</cp:lastPrinted>
  <dcterms:created xsi:type="dcterms:W3CDTF">2024-07-09T16:16:00Z</dcterms:created>
  <dcterms:modified xsi:type="dcterms:W3CDTF">2024-07-09T16:16:00Z</dcterms:modified>
</cp:coreProperties>
</file>